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A9B6CD" w14:textId="4537D11D" w:rsidR="00D90935" w:rsidRPr="00D90935" w:rsidRDefault="00D90935" w:rsidP="00D9093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D90935">
        <w:rPr>
          <w:rFonts w:ascii="Arial" w:eastAsia="Times New Roman" w:hAnsi="Arial" w:cs="Arial"/>
          <w:b/>
          <w:bCs/>
          <w:noProof/>
          <w:color w:val="000000"/>
          <w:kern w:val="0"/>
          <w:sz w:val="20"/>
          <w:szCs w:val="20"/>
          <w:bdr w:val="none" w:sz="0" w:space="0" w:color="auto" w:frame="1"/>
          <w14:ligatures w14:val="none"/>
        </w:rPr>
        <w:drawing>
          <wp:inline distT="0" distB="0" distL="0" distR="0" wp14:anchorId="16BEB8D2" wp14:editId="05668079">
            <wp:extent cx="1104900" cy="704850"/>
            <wp:effectExtent l="0" t="0" r="0" b="0"/>
            <wp:docPr id="1574657143" name="Picture 2" descr="A logo for a rescue miss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4657143" name="Picture 2" descr="A logo for a rescue miss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D6CF55" w14:textId="77777777" w:rsidR="00D90935" w:rsidRPr="00D90935" w:rsidRDefault="00D90935" w:rsidP="00D90935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3DCC945" w14:textId="77777777" w:rsidR="00D90935" w:rsidRPr="00D90935" w:rsidRDefault="00D90935" w:rsidP="00D9093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D90935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Sliding Fee Discount Program Information</w:t>
      </w:r>
      <w:r w:rsidRPr="00D90935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br/>
      </w:r>
      <w:r w:rsidRPr="00D90935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br/>
      </w:r>
    </w:p>
    <w:p w14:paraId="68222A4A" w14:textId="77777777" w:rsidR="00D90935" w:rsidRPr="00D90935" w:rsidRDefault="00D90935" w:rsidP="00D90935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90935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u w:val="single"/>
          <w14:ligatures w14:val="none"/>
        </w:rPr>
        <w:br/>
        <w:t>What is a Sliding Fee Discount Program?</w:t>
      </w:r>
    </w:p>
    <w:p w14:paraId="01BD4B01" w14:textId="77777777" w:rsidR="00D90935" w:rsidRPr="00D90935" w:rsidRDefault="00D90935" w:rsidP="00D90935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5F30AFA" w14:textId="77777777" w:rsidR="00D90935" w:rsidRPr="00D90935" w:rsidRDefault="00D90935" w:rsidP="00D90935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90935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The Sliding Fee Discount Program is our way of offering medical services at a lower cost to families who meet certain requirements. Eligibility is based on family size and gross income. Patients pay for services according to where they fall on the scale.</w:t>
      </w:r>
    </w:p>
    <w:p w14:paraId="67F8F9B4" w14:textId="77777777" w:rsidR="00D90935" w:rsidRPr="00D90935" w:rsidRDefault="00D90935" w:rsidP="00D90935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59059E9" w14:textId="77777777" w:rsidR="00D90935" w:rsidRPr="00D90935" w:rsidRDefault="00D90935" w:rsidP="00D90935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90935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u w:val="single"/>
          <w14:ligatures w14:val="none"/>
        </w:rPr>
        <w:t>What type of income verification and documents do I need? </w:t>
      </w:r>
    </w:p>
    <w:p w14:paraId="1DD63296" w14:textId="77777777" w:rsidR="00D90935" w:rsidRPr="00D90935" w:rsidRDefault="00D90935" w:rsidP="00D90935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D5F7065" w14:textId="77777777" w:rsidR="00D90935" w:rsidRPr="00D90935" w:rsidRDefault="00D90935" w:rsidP="00D90935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90935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All patients must provide at least one proof of income for all family members such as:</w:t>
      </w:r>
    </w:p>
    <w:p w14:paraId="1167AC9C" w14:textId="00CE239C" w:rsidR="00D90935" w:rsidRPr="00D90935" w:rsidRDefault="00D90935" w:rsidP="00D90935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1558EF3" w14:textId="62E32C7C" w:rsidR="00D90935" w:rsidRPr="00D90935" w:rsidRDefault="00D90935" w:rsidP="00D90935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D90935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Payroll: Most current payroll check-stubs. Paid weekly equals four (4) check stubs, paid biweekly equals two (2) check stubs, paid monthly equals one (1) or more check </w:t>
      </w:r>
      <w:proofErr w:type="gramStart"/>
      <w:r w:rsidRPr="00D90935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stub</w:t>
      </w:r>
      <w:proofErr w:type="gramEnd"/>
      <w:r w:rsidRPr="00D90935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(s)</w:t>
      </w:r>
      <w:r w:rsidR="008A6796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.</w:t>
      </w:r>
    </w:p>
    <w:p w14:paraId="5A59D58B" w14:textId="52D534F6" w:rsidR="00D90935" w:rsidRPr="00D90935" w:rsidRDefault="00D90935" w:rsidP="00D90935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D90935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Self-employed: Most recent 1099 form</w:t>
      </w:r>
      <w:r w:rsidR="008A6796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r w:rsidRPr="00D90935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/ income tax returns</w:t>
      </w:r>
      <w:r w:rsidR="008A6796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.</w:t>
      </w:r>
    </w:p>
    <w:p w14:paraId="43622A76" w14:textId="77777777" w:rsidR="00D90935" w:rsidRPr="00D90935" w:rsidRDefault="00D90935" w:rsidP="00D90935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D90935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Award letters of SSI, Social Security benefits, disability benefits, unemployment benefits, etc. </w:t>
      </w:r>
    </w:p>
    <w:p w14:paraId="2803B91A" w14:textId="77777777" w:rsidR="00D90935" w:rsidRPr="00D90935" w:rsidRDefault="00D90935" w:rsidP="00D90935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D90935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Pension or Retirement checks. If the payment is direct deposit, a copy of the most recent bank statement indicating the transaction. </w:t>
      </w:r>
    </w:p>
    <w:p w14:paraId="31E0D1D2" w14:textId="2787C206" w:rsidR="00D90935" w:rsidRPr="00D90935" w:rsidRDefault="00D90935" w:rsidP="00D90935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D90935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Case contribution from others: in-kind support</w:t>
      </w:r>
      <w:r w:rsidR="008A6796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.</w:t>
      </w:r>
    </w:p>
    <w:p w14:paraId="18DE21AF" w14:textId="77777777" w:rsidR="00D90935" w:rsidRPr="00D90935" w:rsidRDefault="00D90935" w:rsidP="00D90935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D90935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Other income including alimony, child support, etc. </w:t>
      </w:r>
    </w:p>
    <w:p w14:paraId="1CBEF97D" w14:textId="18C4E130" w:rsidR="00D90935" w:rsidRPr="00D90935" w:rsidRDefault="00D90935" w:rsidP="00D90935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D90935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The previous year’s tax return</w:t>
      </w:r>
      <w:r w:rsidR="008A6796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.</w:t>
      </w:r>
    </w:p>
    <w:p w14:paraId="14C4B3B6" w14:textId="77777777" w:rsidR="008A6796" w:rsidRDefault="008A6796" w:rsidP="00D90935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6575EBC0" w14:textId="1367D27A" w:rsidR="00D90935" w:rsidRPr="00D90935" w:rsidRDefault="00D90935" w:rsidP="00D90935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90935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Proof of income must be received within 5 business days </w:t>
      </w:r>
      <w:r w:rsidR="00C8217B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of </w:t>
      </w:r>
      <w:r w:rsidRPr="00D90935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signing the Sliding Fee Discount Program Attestation Form. Should proof of income not be received within the time frame</w:t>
      </w:r>
      <w:r w:rsidR="00C8217B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,</w:t>
      </w:r>
      <w:r w:rsidRPr="00D90935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you will be charged 100% of the appointment fee plus any additional ancillary charges.</w:t>
      </w:r>
    </w:p>
    <w:p w14:paraId="77E21F8E" w14:textId="77777777" w:rsidR="00D90935" w:rsidRPr="00D90935" w:rsidRDefault="00D90935" w:rsidP="00D90935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8E17FA0" w14:textId="77777777" w:rsidR="00D90935" w:rsidRPr="00D90935" w:rsidRDefault="00D90935" w:rsidP="00D90935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90935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u w:val="single"/>
          <w14:ligatures w14:val="none"/>
        </w:rPr>
        <w:t>How long is my discount good for?</w:t>
      </w:r>
    </w:p>
    <w:p w14:paraId="3DE9EC79" w14:textId="77777777" w:rsidR="00D90935" w:rsidRPr="00D90935" w:rsidRDefault="00D90935" w:rsidP="00D90935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221C582" w14:textId="49703F72" w:rsidR="00D90935" w:rsidRPr="00D90935" w:rsidRDefault="00D90935" w:rsidP="00D90935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90935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The length </w:t>
      </w:r>
      <w:r w:rsidR="00C8217B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of time </w:t>
      </w:r>
      <w:r w:rsidRPr="00D90935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of the Sliding Fee Discount Program is based on the Income Verification Eligibility Period listed on the reverse side of this form. </w:t>
      </w:r>
    </w:p>
    <w:p w14:paraId="74A2E71D" w14:textId="77777777" w:rsidR="00D90935" w:rsidRPr="00D90935" w:rsidRDefault="00D90935" w:rsidP="00D90935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8892A0A" w14:textId="77777777" w:rsidR="00D90935" w:rsidRPr="00D90935" w:rsidRDefault="00D90935" w:rsidP="00D90935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90935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u w:val="single"/>
          <w14:ligatures w14:val="none"/>
        </w:rPr>
        <w:t>What services will be covered if I am approved for the Sliding Fee Discount Program?</w:t>
      </w:r>
    </w:p>
    <w:p w14:paraId="311E87B1" w14:textId="77777777" w:rsidR="00D90935" w:rsidRPr="00D90935" w:rsidRDefault="00D90935" w:rsidP="00D90935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B4864C5" w14:textId="2F9D9816" w:rsidR="00D90935" w:rsidRPr="00D90935" w:rsidRDefault="00D90935" w:rsidP="00D90935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90935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Services that will be covered </w:t>
      </w:r>
      <w:proofErr w:type="gramStart"/>
      <w:r w:rsidRPr="00D90935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include</w:t>
      </w:r>
      <w:r w:rsidR="00C8217B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,</w:t>
      </w:r>
      <w:r w:rsidRPr="00D90935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but</w:t>
      </w:r>
      <w:proofErr w:type="gramEnd"/>
      <w:r w:rsidRPr="00D90935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are not limited to: Office visits for both established and new patients, (</w:t>
      </w:r>
      <w:r w:rsidR="00C8217B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s</w:t>
      </w:r>
      <w:r w:rsidRPr="00D90935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ubstance use </w:t>
      </w:r>
      <w:r w:rsidR="00C8217B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d</w:t>
      </w:r>
      <w:r w:rsidRPr="00D90935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isorder services), physicals, inhouse point of care testing, inhouse procedures, </w:t>
      </w:r>
      <w:r w:rsidR="00C8217B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d</w:t>
      </w:r>
      <w:r w:rsidRPr="00D90935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etox, </w:t>
      </w:r>
      <w:r w:rsidR="00C8217B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r</w:t>
      </w:r>
      <w:r w:rsidRPr="00D90935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esidential treatment, </w:t>
      </w:r>
      <w:r w:rsidR="00C8217B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g</w:t>
      </w:r>
      <w:r w:rsidRPr="00D90935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roup </w:t>
      </w:r>
      <w:r w:rsidR="00C8217B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</w:t>
      </w:r>
      <w:r w:rsidRPr="00D90935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ounseling, </w:t>
      </w:r>
      <w:r w:rsidR="00C8217B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i</w:t>
      </w:r>
      <w:r w:rsidRPr="00D90935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ndividual </w:t>
      </w:r>
      <w:r w:rsidR="00C8217B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</w:t>
      </w:r>
      <w:r w:rsidRPr="00D90935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ounseling sessions, </w:t>
      </w:r>
      <w:r w:rsidR="00C8217B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f</w:t>
      </w:r>
      <w:r w:rsidRPr="00D90935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amily </w:t>
      </w:r>
      <w:r w:rsidR="00C8217B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counseling </w:t>
      </w:r>
      <w:r w:rsidRPr="00D90935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sessions, </w:t>
      </w:r>
      <w:r w:rsidR="00C8217B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p</w:t>
      </w:r>
      <w:r w:rsidRPr="00D90935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sychiatric </w:t>
      </w:r>
      <w:r w:rsidR="00C8217B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e</w:t>
      </w:r>
      <w:r w:rsidRPr="00D90935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valuations</w:t>
      </w:r>
      <w:r w:rsidR="00C8217B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,</w:t>
      </w:r>
      <w:r w:rsidRPr="00D90935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and </w:t>
      </w:r>
      <w:r w:rsidR="00C8217B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i</w:t>
      </w:r>
      <w:r w:rsidRPr="00D90935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ntrapartum services as detailed in the </w:t>
      </w:r>
      <w:r w:rsidR="00C8217B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S</w:t>
      </w:r>
      <w:r w:rsidRPr="00D90935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liding Fee Discount Pro</w:t>
      </w:r>
      <w:r w:rsidR="00C8217B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gram</w:t>
      </w:r>
      <w:r w:rsidRPr="00D90935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.</w:t>
      </w:r>
    </w:p>
    <w:p w14:paraId="234EC0BF" w14:textId="77777777" w:rsidR="00D90935" w:rsidRPr="00D90935" w:rsidRDefault="00D90935" w:rsidP="00D90935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F451783" w14:textId="77777777" w:rsidR="00D90935" w:rsidRPr="00D90935" w:rsidRDefault="00D90935" w:rsidP="00D90935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90935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u w:val="single"/>
          <w14:ligatures w14:val="none"/>
        </w:rPr>
        <w:t>What services are NOT covered under the Sliding Fee Discount Program?</w:t>
      </w:r>
    </w:p>
    <w:p w14:paraId="38A3B1F1" w14:textId="77777777" w:rsidR="00D90935" w:rsidRPr="00D90935" w:rsidRDefault="00D90935" w:rsidP="00D90935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AEE2A9C" w14:textId="451B17E8" w:rsidR="00D90935" w:rsidRPr="00D90935" w:rsidRDefault="00D90935" w:rsidP="00D90935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90935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Services that are not covered under the Sliding Fee Discount Program </w:t>
      </w:r>
      <w:proofErr w:type="gramStart"/>
      <w:r w:rsidRPr="00D90935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include</w:t>
      </w:r>
      <w:r w:rsidR="00C8217B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,</w:t>
      </w:r>
      <w:r w:rsidRPr="00D90935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but</w:t>
      </w:r>
      <w:proofErr w:type="gramEnd"/>
      <w:r w:rsidRPr="00D90935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are not limited to: Diagnostic testing sent out for processing, </w:t>
      </w:r>
      <w:r w:rsidR="00C8217B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d</w:t>
      </w:r>
      <w:r w:rsidRPr="00D90935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urable </w:t>
      </w:r>
      <w:r w:rsidR="00C8217B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m</w:t>
      </w:r>
      <w:r w:rsidRPr="00D90935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edical </w:t>
      </w:r>
      <w:r w:rsidR="00C8217B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e</w:t>
      </w:r>
      <w:r w:rsidRPr="00D90935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quipment (DME), medications prescribed to patients, and Prescription Assistance </w:t>
      </w:r>
      <w:r w:rsidR="00C8217B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p</w:t>
      </w:r>
      <w:r w:rsidRPr="00D90935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rograms</w:t>
      </w:r>
      <w:r w:rsidR="00C8217B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.</w:t>
      </w:r>
    </w:p>
    <w:p w14:paraId="1DE5AE7E" w14:textId="77777777" w:rsidR="00D90935" w:rsidRDefault="00D90935" w:rsidP="00D90935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5682A2E" w14:textId="77777777" w:rsidR="000A23A3" w:rsidRPr="000A23A3" w:rsidRDefault="000A23A3" w:rsidP="000A23A3">
      <w:pPr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  <w:r w:rsidRPr="000A23A3">
        <w:rPr>
          <w:rFonts w:ascii="Calibri" w:hAnsi="Calibri" w:cs="Calibri"/>
          <w:sz w:val="28"/>
          <w:szCs w:val="28"/>
        </w:rPr>
        <w:lastRenderedPageBreak/>
        <w:t>Sliding Fee Scale</w:t>
      </w:r>
    </w:p>
    <w:p w14:paraId="38271E4C" w14:textId="77777777" w:rsidR="000A23A3" w:rsidRPr="000A23A3" w:rsidRDefault="000A23A3" w:rsidP="000A23A3">
      <w:pPr>
        <w:spacing w:after="0" w:line="240" w:lineRule="auto"/>
        <w:ind w:right="490"/>
        <w:jc w:val="center"/>
        <w:rPr>
          <w:rFonts w:ascii="Calibri" w:eastAsia="Times New Roman" w:hAnsi="Calibri" w:cs="Calibri"/>
        </w:rPr>
      </w:pPr>
      <w:r w:rsidRPr="000A23A3">
        <w:rPr>
          <w:rFonts w:ascii="Calibri" w:eastAsia="Times New Roman" w:hAnsi="Calibri" w:cs="Calibri"/>
        </w:rPr>
        <w:t>2024 Poverty Guidelines: 48 Contiguous States (all states except Alaska and Hawaii)</w:t>
      </w:r>
    </w:p>
    <w:p w14:paraId="4FC21F8D" w14:textId="77777777" w:rsidR="000A23A3" w:rsidRPr="000A23A3" w:rsidRDefault="000A23A3" w:rsidP="000A23A3">
      <w:pPr>
        <w:spacing w:after="0" w:line="240" w:lineRule="auto"/>
        <w:ind w:right="490"/>
        <w:jc w:val="center"/>
        <w:rPr>
          <w:rFonts w:ascii="Calibri" w:hAnsi="Calibri" w:cs="Calibri"/>
          <w:sz w:val="28"/>
          <w:szCs w:val="28"/>
        </w:rPr>
      </w:pPr>
      <w:r w:rsidRPr="000A23A3">
        <w:rPr>
          <w:rFonts w:ascii="Calibri" w:hAnsi="Calibri" w:cs="Calibri"/>
        </w:rPr>
        <w:t>Dollars Per Month</w:t>
      </w:r>
    </w:p>
    <w:p w14:paraId="65414B2C" w14:textId="77777777" w:rsidR="000A23A3" w:rsidRDefault="000A23A3" w:rsidP="000A23A3">
      <w:pPr>
        <w:pStyle w:val="BodyText"/>
        <w:spacing w:before="1" w:after="1"/>
        <w:rPr>
          <w:sz w:val="24"/>
        </w:rPr>
      </w:pPr>
    </w:p>
    <w:tbl>
      <w:tblPr>
        <w:tblStyle w:val="TableGrid"/>
        <w:tblW w:w="0" w:type="auto"/>
        <w:tblInd w:w="535" w:type="dxa"/>
        <w:tblLook w:val="04A0" w:firstRow="1" w:lastRow="0" w:firstColumn="1" w:lastColumn="0" w:noHBand="0" w:noVBand="1"/>
      </w:tblPr>
      <w:tblGrid>
        <w:gridCol w:w="2155"/>
        <w:gridCol w:w="1665"/>
        <w:gridCol w:w="1665"/>
        <w:gridCol w:w="1665"/>
        <w:gridCol w:w="1665"/>
      </w:tblGrid>
      <w:tr w:rsidR="000A23A3" w:rsidRPr="007F5482" w14:paraId="4F69A255" w14:textId="77777777" w:rsidTr="0032043E">
        <w:trPr>
          <w:trHeight w:val="1319"/>
        </w:trPr>
        <w:tc>
          <w:tcPr>
            <w:tcW w:w="3184" w:type="dxa"/>
            <w:hideMark/>
          </w:tcPr>
          <w:p w14:paraId="14EDC6DB" w14:textId="77777777" w:rsidR="000A23A3" w:rsidRDefault="000A23A3" w:rsidP="0032043E">
            <w:pPr>
              <w:pStyle w:val="BodyText"/>
              <w:spacing w:before="3"/>
              <w:rPr>
                <w:b/>
                <w:bCs/>
                <w:sz w:val="25"/>
              </w:rPr>
            </w:pPr>
          </w:p>
          <w:p w14:paraId="00F27A4E" w14:textId="77777777" w:rsidR="000A23A3" w:rsidRDefault="000A23A3" w:rsidP="0032043E">
            <w:pPr>
              <w:pStyle w:val="BodyText"/>
              <w:spacing w:before="3"/>
              <w:rPr>
                <w:b/>
                <w:bCs/>
                <w:sz w:val="25"/>
              </w:rPr>
            </w:pPr>
          </w:p>
          <w:p w14:paraId="714AC565" w14:textId="77777777" w:rsidR="000A23A3" w:rsidRPr="007F5482" w:rsidRDefault="000A23A3" w:rsidP="0032043E">
            <w:pPr>
              <w:pStyle w:val="BodyText"/>
              <w:spacing w:before="3"/>
              <w:rPr>
                <w:b/>
                <w:bCs/>
                <w:sz w:val="25"/>
              </w:rPr>
            </w:pPr>
            <w:r w:rsidRPr="007F5482">
              <w:rPr>
                <w:b/>
                <w:bCs/>
                <w:sz w:val="25"/>
              </w:rPr>
              <w:t>Household/</w:t>
            </w:r>
            <w:r w:rsidRPr="007F5482">
              <w:rPr>
                <w:b/>
                <w:bCs/>
                <w:sz w:val="25"/>
              </w:rPr>
              <w:br/>
              <w:t>Family Size</w:t>
            </w:r>
          </w:p>
        </w:tc>
        <w:tc>
          <w:tcPr>
            <w:tcW w:w="2436" w:type="dxa"/>
            <w:noWrap/>
            <w:hideMark/>
          </w:tcPr>
          <w:p w14:paraId="5C83A356" w14:textId="77777777" w:rsidR="000A23A3" w:rsidRPr="007F5482" w:rsidRDefault="000A23A3" w:rsidP="0032043E">
            <w:pPr>
              <w:pStyle w:val="BodyText"/>
              <w:spacing w:before="3"/>
              <w:jc w:val="center"/>
              <w:rPr>
                <w:b/>
                <w:bCs/>
                <w:sz w:val="25"/>
              </w:rPr>
            </w:pPr>
            <w:r w:rsidRPr="007F5482">
              <w:rPr>
                <w:b/>
                <w:bCs/>
                <w:sz w:val="25"/>
              </w:rPr>
              <w:t>100%</w:t>
            </w:r>
          </w:p>
        </w:tc>
        <w:tc>
          <w:tcPr>
            <w:tcW w:w="2436" w:type="dxa"/>
            <w:noWrap/>
            <w:hideMark/>
          </w:tcPr>
          <w:p w14:paraId="411DF1FC" w14:textId="77777777" w:rsidR="000A23A3" w:rsidRPr="007F5482" w:rsidRDefault="000A23A3" w:rsidP="0032043E">
            <w:pPr>
              <w:pStyle w:val="BodyText"/>
              <w:spacing w:before="3"/>
              <w:jc w:val="center"/>
              <w:rPr>
                <w:b/>
                <w:bCs/>
                <w:sz w:val="25"/>
              </w:rPr>
            </w:pPr>
            <w:r w:rsidRPr="007F5482">
              <w:rPr>
                <w:b/>
                <w:bCs/>
                <w:sz w:val="25"/>
              </w:rPr>
              <w:t>133%</w:t>
            </w:r>
          </w:p>
        </w:tc>
        <w:tc>
          <w:tcPr>
            <w:tcW w:w="2436" w:type="dxa"/>
            <w:noWrap/>
            <w:hideMark/>
          </w:tcPr>
          <w:p w14:paraId="34D91EEC" w14:textId="77777777" w:rsidR="000A23A3" w:rsidRPr="007F5482" w:rsidRDefault="000A23A3" w:rsidP="0032043E">
            <w:pPr>
              <w:pStyle w:val="BodyText"/>
              <w:spacing w:before="3"/>
              <w:jc w:val="center"/>
              <w:rPr>
                <w:b/>
                <w:bCs/>
                <w:sz w:val="25"/>
              </w:rPr>
            </w:pPr>
            <w:r w:rsidRPr="007F5482">
              <w:rPr>
                <w:b/>
                <w:bCs/>
                <w:sz w:val="25"/>
              </w:rPr>
              <w:t>150%</w:t>
            </w:r>
          </w:p>
        </w:tc>
        <w:tc>
          <w:tcPr>
            <w:tcW w:w="2436" w:type="dxa"/>
            <w:noWrap/>
            <w:hideMark/>
          </w:tcPr>
          <w:p w14:paraId="08841D6D" w14:textId="77777777" w:rsidR="000A23A3" w:rsidRPr="007F5482" w:rsidRDefault="000A23A3" w:rsidP="0032043E">
            <w:pPr>
              <w:pStyle w:val="BodyText"/>
              <w:spacing w:before="3"/>
              <w:jc w:val="center"/>
              <w:rPr>
                <w:b/>
                <w:bCs/>
                <w:sz w:val="25"/>
              </w:rPr>
            </w:pPr>
            <w:r w:rsidRPr="007F5482">
              <w:rPr>
                <w:b/>
                <w:bCs/>
                <w:sz w:val="25"/>
              </w:rPr>
              <w:t>185%</w:t>
            </w:r>
          </w:p>
        </w:tc>
      </w:tr>
      <w:tr w:rsidR="000A23A3" w:rsidRPr="007F5482" w14:paraId="7E90E760" w14:textId="77777777" w:rsidTr="0032043E">
        <w:trPr>
          <w:trHeight w:val="419"/>
        </w:trPr>
        <w:tc>
          <w:tcPr>
            <w:tcW w:w="3184" w:type="dxa"/>
            <w:noWrap/>
            <w:hideMark/>
          </w:tcPr>
          <w:p w14:paraId="22857883" w14:textId="77777777" w:rsidR="000A23A3" w:rsidRPr="007F5482" w:rsidRDefault="000A23A3" w:rsidP="0032043E">
            <w:pPr>
              <w:pStyle w:val="BodyText"/>
              <w:spacing w:before="3"/>
              <w:rPr>
                <w:b/>
                <w:bCs/>
                <w:sz w:val="25"/>
              </w:rPr>
            </w:pPr>
            <w:r w:rsidRPr="007F5482">
              <w:rPr>
                <w:b/>
                <w:bCs/>
                <w:sz w:val="25"/>
              </w:rPr>
              <w:t>1</w:t>
            </w:r>
          </w:p>
        </w:tc>
        <w:tc>
          <w:tcPr>
            <w:tcW w:w="2436" w:type="dxa"/>
            <w:noWrap/>
            <w:hideMark/>
          </w:tcPr>
          <w:p w14:paraId="756D0710" w14:textId="77777777" w:rsidR="000A23A3" w:rsidRPr="007F5482" w:rsidRDefault="000A23A3" w:rsidP="0032043E">
            <w:pPr>
              <w:pStyle w:val="BodyText"/>
              <w:spacing w:before="3"/>
              <w:jc w:val="center"/>
              <w:rPr>
                <w:sz w:val="25"/>
              </w:rPr>
            </w:pPr>
            <w:r w:rsidRPr="007F5482">
              <w:rPr>
                <w:sz w:val="25"/>
              </w:rPr>
              <w:t>1,255.00</w:t>
            </w:r>
          </w:p>
        </w:tc>
        <w:tc>
          <w:tcPr>
            <w:tcW w:w="2436" w:type="dxa"/>
            <w:noWrap/>
            <w:hideMark/>
          </w:tcPr>
          <w:p w14:paraId="72B4E9F8" w14:textId="77777777" w:rsidR="000A23A3" w:rsidRPr="007F5482" w:rsidRDefault="000A23A3" w:rsidP="0032043E">
            <w:pPr>
              <w:pStyle w:val="BodyText"/>
              <w:spacing w:before="3"/>
              <w:jc w:val="center"/>
              <w:rPr>
                <w:sz w:val="25"/>
              </w:rPr>
            </w:pPr>
            <w:r w:rsidRPr="007F5482">
              <w:rPr>
                <w:sz w:val="25"/>
              </w:rPr>
              <w:t>1,669.15</w:t>
            </w:r>
          </w:p>
        </w:tc>
        <w:tc>
          <w:tcPr>
            <w:tcW w:w="2436" w:type="dxa"/>
            <w:noWrap/>
            <w:hideMark/>
          </w:tcPr>
          <w:p w14:paraId="2180C45C" w14:textId="77777777" w:rsidR="000A23A3" w:rsidRPr="007F5482" w:rsidRDefault="000A23A3" w:rsidP="0032043E">
            <w:pPr>
              <w:pStyle w:val="BodyText"/>
              <w:spacing w:before="3"/>
              <w:jc w:val="center"/>
              <w:rPr>
                <w:sz w:val="25"/>
              </w:rPr>
            </w:pPr>
            <w:r w:rsidRPr="007F5482">
              <w:rPr>
                <w:sz w:val="25"/>
              </w:rPr>
              <w:t>1,882.50</w:t>
            </w:r>
          </w:p>
        </w:tc>
        <w:tc>
          <w:tcPr>
            <w:tcW w:w="2436" w:type="dxa"/>
            <w:noWrap/>
            <w:hideMark/>
          </w:tcPr>
          <w:p w14:paraId="63F9BB3C" w14:textId="77777777" w:rsidR="000A23A3" w:rsidRPr="007F5482" w:rsidRDefault="000A23A3" w:rsidP="0032043E">
            <w:pPr>
              <w:pStyle w:val="BodyText"/>
              <w:spacing w:before="3"/>
              <w:jc w:val="center"/>
              <w:rPr>
                <w:sz w:val="25"/>
              </w:rPr>
            </w:pPr>
            <w:r w:rsidRPr="007F5482">
              <w:rPr>
                <w:sz w:val="25"/>
              </w:rPr>
              <w:t>2,321.75</w:t>
            </w:r>
          </w:p>
        </w:tc>
      </w:tr>
      <w:tr w:rsidR="000A23A3" w:rsidRPr="007F5482" w14:paraId="6116B907" w14:textId="77777777" w:rsidTr="0032043E">
        <w:trPr>
          <w:trHeight w:val="419"/>
        </w:trPr>
        <w:tc>
          <w:tcPr>
            <w:tcW w:w="3184" w:type="dxa"/>
            <w:noWrap/>
            <w:hideMark/>
          </w:tcPr>
          <w:p w14:paraId="18095460" w14:textId="77777777" w:rsidR="000A23A3" w:rsidRPr="007F5482" w:rsidRDefault="000A23A3" w:rsidP="0032043E">
            <w:pPr>
              <w:pStyle w:val="BodyText"/>
              <w:spacing w:before="3"/>
              <w:rPr>
                <w:b/>
                <w:bCs/>
                <w:sz w:val="25"/>
              </w:rPr>
            </w:pPr>
            <w:r w:rsidRPr="007F5482">
              <w:rPr>
                <w:b/>
                <w:bCs/>
                <w:sz w:val="25"/>
              </w:rPr>
              <w:t>2</w:t>
            </w:r>
          </w:p>
        </w:tc>
        <w:tc>
          <w:tcPr>
            <w:tcW w:w="2436" w:type="dxa"/>
            <w:noWrap/>
            <w:hideMark/>
          </w:tcPr>
          <w:p w14:paraId="38F69C26" w14:textId="77777777" w:rsidR="000A23A3" w:rsidRPr="007F5482" w:rsidRDefault="000A23A3" w:rsidP="0032043E">
            <w:pPr>
              <w:pStyle w:val="BodyText"/>
              <w:spacing w:before="3"/>
              <w:jc w:val="center"/>
              <w:rPr>
                <w:sz w:val="25"/>
              </w:rPr>
            </w:pPr>
            <w:r w:rsidRPr="007F5482">
              <w:rPr>
                <w:sz w:val="25"/>
              </w:rPr>
              <w:t>1,703.33</w:t>
            </w:r>
          </w:p>
        </w:tc>
        <w:tc>
          <w:tcPr>
            <w:tcW w:w="2436" w:type="dxa"/>
            <w:noWrap/>
            <w:hideMark/>
          </w:tcPr>
          <w:p w14:paraId="67D13D43" w14:textId="77777777" w:rsidR="000A23A3" w:rsidRPr="007F5482" w:rsidRDefault="000A23A3" w:rsidP="0032043E">
            <w:pPr>
              <w:pStyle w:val="BodyText"/>
              <w:spacing w:before="3"/>
              <w:jc w:val="center"/>
              <w:rPr>
                <w:sz w:val="25"/>
              </w:rPr>
            </w:pPr>
            <w:r w:rsidRPr="007F5482">
              <w:rPr>
                <w:sz w:val="25"/>
              </w:rPr>
              <w:t>2,265.43</w:t>
            </w:r>
          </w:p>
        </w:tc>
        <w:tc>
          <w:tcPr>
            <w:tcW w:w="2436" w:type="dxa"/>
            <w:noWrap/>
            <w:hideMark/>
          </w:tcPr>
          <w:p w14:paraId="61281CE9" w14:textId="77777777" w:rsidR="000A23A3" w:rsidRPr="007F5482" w:rsidRDefault="000A23A3" w:rsidP="0032043E">
            <w:pPr>
              <w:pStyle w:val="BodyText"/>
              <w:spacing w:before="3"/>
              <w:jc w:val="center"/>
              <w:rPr>
                <w:sz w:val="25"/>
              </w:rPr>
            </w:pPr>
            <w:r w:rsidRPr="007F5482">
              <w:rPr>
                <w:sz w:val="25"/>
              </w:rPr>
              <w:t>2,555.00</w:t>
            </w:r>
          </w:p>
        </w:tc>
        <w:tc>
          <w:tcPr>
            <w:tcW w:w="2436" w:type="dxa"/>
            <w:noWrap/>
            <w:hideMark/>
          </w:tcPr>
          <w:p w14:paraId="5AEA1439" w14:textId="77777777" w:rsidR="000A23A3" w:rsidRPr="007F5482" w:rsidRDefault="000A23A3" w:rsidP="0032043E">
            <w:pPr>
              <w:pStyle w:val="BodyText"/>
              <w:spacing w:before="3"/>
              <w:jc w:val="center"/>
              <w:rPr>
                <w:sz w:val="25"/>
              </w:rPr>
            </w:pPr>
            <w:r w:rsidRPr="007F5482">
              <w:rPr>
                <w:sz w:val="25"/>
              </w:rPr>
              <w:t>3,151.17</w:t>
            </w:r>
          </w:p>
        </w:tc>
      </w:tr>
      <w:tr w:rsidR="000A23A3" w:rsidRPr="007F5482" w14:paraId="768C5FE5" w14:textId="77777777" w:rsidTr="0032043E">
        <w:trPr>
          <w:trHeight w:val="419"/>
        </w:trPr>
        <w:tc>
          <w:tcPr>
            <w:tcW w:w="3184" w:type="dxa"/>
            <w:noWrap/>
            <w:hideMark/>
          </w:tcPr>
          <w:p w14:paraId="3FC53814" w14:textId="77777777" w:rsidR="000A23A3" w:rsidRPr="007F5482" w:rsidRDefault="000A23A3" w:rsidP="0032043E">
            <w:pPr>
              <w:pStyle w:val="BodyText"/>
              <w:spacing w:before="3"/>
              <w:rPr>
                <w:b/>
                <w:bCs/>
                <w:sz w:val="25"/>
              </w:rPr>
            </w:pPr>
            <w:r w:rsidRPr="007F5482">
              <w:rPr>
                <w:b/>
                <w:bCs/>
                <w:sz w:val="25"/>
              </w:rPr>
              <w:t>3</w:t>
            </w:r>
          </w:p>
        </w:tc>
        <w:tc>
          <w:tcPr>
            <w:tcW w:w="2436" w:type="dxa"/>
            <w:noWrap/>
            <w:hideMark/>
          </w:tcPr>
          <w:p w14:paraId="0C053EBF" w14:textId="77777777" w:rsidR="000A23A3" w:rsidRPr="007F5482" w:rsidRDefault="000A23A3" w:rsidP="0032043E">
            <w:pPr>
              <w:pStyle w:val="BodyText"/>
              <w:spacing w:before="3"/>
              <w:jc w:val="center"/>
              <w:rPr>
                <w:sz w:val="25"/>
              </w:rPr>
            </w:pPr>
            <w:r w:rsidRPr="007F5482">
              <w:rPr>
                <w:sz w:val="25"/>
              </w:rPr>
              <w:t>2,151.67</w:t>
            </w:r>
          </w:p>
        </w:tc>
        <w:tc>
          <w:tcPr>
            <w:tcW w:w="2436" w:type="dxa"/>
            <w:noWrap/>
            <w:hideMark/>
          </w:tcPr>
          <w:p w14:paraId="4044D2F2" w14:textId="77777777" w:rsidR="000A23A3" w:rsidRPr="007F5482" w:rsidRDefault="000A23A3" w:rsidP="0032043E">
            <w:pPr>
              <w:pStyle w:val="BodyText"/>
              <w:spacing w:before="3"/>
              <w:jc w:val="center"/>
              <w:rPr>
                <w:sz w:val="25"/>
              </w:rPr>
            </w:pPr>
            <w:r w:rsidRPr="007F5482">
              <w:rPr>
                <w:sz w:val="25"/>
              </w:rPr>
              <w:t>2,861.72</w:t>
            </w:r>
          </w:p>
        </w:tc>
        <w:tc>
          <w:tcPr>
            <w:tcW w:w="2436" w:type="dxa"/>
            <w:noWrap/>
            <w:hideMark/>
          </w:tcPr>
          <w:p w14:paraId="2B5D522D" w14:textId="77777777" w:rsidR="000A23A3" w:rsidRPr="007F5482" w:rsidRDefault="000A23A3" w:rsidP="0032043E">
            <w:pPr>
              <w:pStyle w:val="BodyText"/>
              <w:spacing w:before="3"/>
              <w:jc w:val="center"/>
              <w:rPr>
                <w:sz w:val="25"/>
              </w:rPr>
            </w:pPr>
            <w:r w:rsidRPr="007F5482">
              <w:rPr>
                <w:sz w:val="25"/>
              </w:rPr>
              <w:t>3,227.50</w:t>
            </w:r>
          </w:p>
        </w:tc>
        <w:tc>
          <w:tcPr>
            <w:tcW w:w="2436" w:type="dxa"/>
            <w:noWrap/>
            <w:hideMark/>
          </w:tcPr>
          <w:p w14:paraId="36264E08" w14:textId="77777777" w:rsidR="000A23A3" w:rsidRPr="007F5482" w:rsidRDefault="000A23A3" w:rsidP="0032043E">
            <w:pPr>
              <w:pStyle w:val="BodyText"/>
              <w:spacing w:before="3"/>
              <w:jc w:val="center"/>
              <w:rPr>
                <w:sz w:val="25"/>
              </w:rPr>
            </w:pPr>
            <w:r w:rsidRPr="007F5482">
              <w:rPr>
                <w:sz w:val="25"/>
              </w:rPr>
              <w:t>3,980.58</w:t>
            </w:r>
          </w:p>
        </w:tc>
      </w:tr>
      <w:tr w:rsidR="000A23A3" w:rsidRPr="007F5482" w14:paraId="4A5B5376" w14:textId="77777777" w:rsidTr="0032043E">
        <w:trPr>
          <w:trHeight w:val="419"/>
        </w:trPr>
        <w:tc>
          <w:tcPr>
            <w:tcW w:w="3184" w:type="dxa"/>
            <w:noWrap/>
            <w:hideMark/>
          </w:tcPr>
          <w:p w14:paraId="0247CFFA" w14:textId="77777777" w:rsidR="000A23A3" w:rsidRPr="007F5482" w:rsidRDefault="000A23A3" w:rsidP="0032043E">
            <w:pPr>
              <w:pStyle w:val="BodyText"/>
              <w:spacing w:before="3"/>
              <w:rPr>
                <w:b/>
                <w:bCs/>
                <w:sz w:val="25"/>
              </w:rPr>
            </w:pPr>
            <w:r w:rsidRPr="007F5482">
              <w:rPr>
                <w:b/>
                <w:bCs/>
                <w:sz w:val="25"/>
              </w:rPr>
              <w:t>4</w:t>
            </w:r>
          </w:p>
        </w:tc>
        <w:tc>
          <w:tcPr>
            <w:tcW w:w="2436" w:type="dxa"/>
            <w:noWrap/>
            <w:hideMark/>
          </w:tcPr>
          <w:p w14:paraId="18025FFF" w14:textId="77777777" w:rsidR="000A23A3" w:rsidRPr="007F5482" w:rsidRDefault="000A23A3" w:rsidP="0032043E">
            <w:pPr>
              <w:pStyle w:val="BodyText"/>
              <w:spacing w:before="3"/>
              <w:jc w:val="center"/>
              <w:rPr>
                <w:sz w:val="25"/>
              </w:rPr>
            </w:pPr>
            <w:r w:rsidRPr="007F5482">
              <w:rPr>
                <w:sz w:val="25"/>
              </w:rPr>
              <w:t>2,600.00</w:t>
            </w:r>
          </w:p>
        </w:tc>
        <w:tc>
          <w:tcPr>
            <w:tcW w:w="2436" w:type="dxa"/>
            <w:noWrap/>
            <w:hideMark/>
          </w:tcPr>
          <w:p w14:paraId="2E2979A1" w14:textId="77777777" w:rsidR="000A23A3" w:rsidRPr="007F5482" w:rsidRDefault="000A23A3" w:rsidP="0032043E">
            <w:pPr>
              <w:pStyle w:val="BodyText"/>
              <w:spacing w:before="3"/>
              <w:jc w:val="center"/>
              <w:rPr>
                <w:sz w:val="25"/>
              </w:rPr>
            </w:pPr>
            <w:r w:rsidRPr="007F5482">
              <w:rPr>
                <w:sz w:val="25"/>
              </w:rPr>
              <w:t>3,458.00</w:t>
            </w:r>
          </w:p>
        </w:tc>
        <w:tc>
          <w:tcPr>
            <w:tcW w:w="2436" w:type="dxa"/>
            <w:noWrap/>
            <w:hideMark/>
          </w:tcPr>
          <w:p w14:paraId="082BE49E" w14:textId="77777777" w:rsidR="000A23A3" w:rsidRPr="007F5482" w:rsidRDefault="000A23A3" w:rsidP="0032043E">
            <w:pPr>
              <w:pStyle w:val="BodyText"/>
              <w:spacing w:before="3"/>
              <w:jc w:val="center"/>
              <w:rPr>
                <w:sz w:val="25"/>
              </w:rPr>
            </w:pPr>
            <w:r w:rsidRPr="007F5482">
              <w:rPr>
                <w:sz w:val="25"/>
              </w:rPr>
              <w:t>3,900.00</w:t>
            </w:r>
          </w:p>
        </w:tc>
        <w:tc>
          <w:tcPr>
            <w:tcW w:w="2436" w:type="dxa"/>
            <w:noWrap/>
            <w:hideMark/>
          </w:tcPr>
          <w:p w14:paraId="16EE2DAF" w14:textId="77777777" w:rsidR="000A23A3" w:rsidRPr="007F5482" w:rsidRDefault="000A23A3" w:rsidP="0032043E">
            <w:pPr>
              <w:pStyle w:val="BodyText"/>
              <w:spacing w:before="3"/>
              <w:jc w:val="center"/>
              <w:rPr>
                <w:sz w:val="25"/>
              </w:rPr>
            </w:pPr>
            <w:r w:rsidRPr="007F5482">
              <w:rPr>
                <w:sz w:val="25"/>
              </w:rPr>
              <w:t>4,810.00</w:t>
            </w:r>
          </w:p>
        </w:tc>
      </w:tr>
      <w:tr w:rsidR="000A23A3" w:rsidRPr="007F5482" w14:paraId="67EACB29" w14:textId="77777777" w:rsidTr="0032043E">
        <w:trPr>
          <w:trHeight w:val="419"/>
        </w:trPr>
        <w:tc>
          <w:tcPr>
            <w:tcW w:w="3184" w:type="dxa"/>
            <w:noWrap/>
            <w:hideMark/>
          </w:tcPr>
          <w:p w14:paraId="2C9DBB3F" w14:textId="77777777" w:rsidR="000A23A3" w:rsidRPr="007F5482" w:rsidRDefault="000A23A3" w:rsidP="0032043E">
            <w:pPr>
              <w:pStyle w:val="BodyText"/>
              <w:spacing w:before="3"/>
              <w:rPr>
                <w:b/>
                <w:bCs/>
                <w:sz w:val="25"/>
              </w:rPr>
            </w:pPr>
            <w:r w:rsidRPr="007F5482">
              <w:rPr>
                <w:b/>
                <w:bCs/>
                <w:sz w:val="25"/>
              </w:rPr>
              <w:t>5</w:t>
            </w:r>
          </w:p>
        </w:tc>
        <w:tc>
          <w:tcPr>
            <w:tcW w:w="2436" w:type="dxa"/>
            <w:noWrap/>
            <w:hideMark/>
          </w:tcPr>
          <w:p w14:paraId="3A253083" w14:textId="77777777" w:rsidR="000A23A3" w:rsidRPr="007F5482" w:rsidRDefault="000A23A3" w:rsidP="0032043E">
            <w:pPr>
              <w:pStyle w:val="BodyText"/>
              <w:spacing w:before="3"/>
              <w:jc w:val="center"/>
              <w:rPr>
                <w:sz w:val="25"/>
              </w:rPr>
            </w:pPr>
            <w:r w:rsidRPr="007F5482">
              <w:rPr>
                <w:sz w:val="25"/>
              </w:rPr>
              <w:t>3,048.33</w:t>
            </w:r>
          </w:p>
        </w:tc>
        <w:tc>
          <w:tcPr>
            <w:tcW w:w="2436" w:type="dxa"/>
            <w:noWrap/>
            <w:hideMark/>
          </w:tcPr>
          <w:p w14:paraId="3FC2D626" w14:textId="77777777" w:rsidR="000A23A3" w:rsidRPr="007F5482" w:rsidRDefault="000A23A3" w:rsidP="0032043E">
            <w:pPr>
              <w:pStyle w:val="BodyText"/>
              <w:spacing w:before="3"/>
              <w:jc w:val="center"/>
              <w:rPr>
                <w:sz w:val="25"/>
              </w:rPr>
            </w:pPr>
            <w:r w:rsidRPr="007F5482">
              <w:rPr>
                <w:sz w:val="25"/>
              </w:rPr>
              <w:t>4,054.28</w:t>
            </w:r>
          </w:p>
        </w:tc>
        <w:tc>
          <w:tcPr>
            <w:tcW w:w="2436" w:type="dxa"/>
            <w:noWrap/>
            <w:hideMark/>
          </w:tcPr>
          <w:p w14:paraId="309E515D" w14:textId="77777777" w:rsidR="000A23A3" w:rsidRPr="007F5482" w:rsidRDefault="000A23A3" w:rsidP="0032043E">
            <w:pPr>
              <w:pStyle w:val="BodyText"/>
              <w:spacing w:before="3"/>
              <w:jc w:val="center"/>
              <w:rPr>
                <w:sz w:val="25"/>
              </w:rPr>
            </w:pPr>
            <w:r w:rsidRPr="007F5482">
              <w:rPr>
                <w:sz w:val="25"/>
              </w:rPr>
              <w:t>4,572.50</w:t>
            </w:r>
          </w:p>
        </w:tc>
        <w:tc>
          <w:tcPr>
            <w:tcW w:w="2436" w:type="dxa"/>
            <w:noWrap/>
            <w:hideMark/>
          </w:tcPr>
          <w:p w14:paraId="44A4234B" w14:textId="77777777" w:rsidR="000A23A3" w:rsidRPr="007F5482" w:rsidRDefault="000A23A3" w:rsidP="0032043E">
            <w:pPr>
              <w:pStyle w:val="BodyText"/>
              <w:spacing w:before="3"/>
              <w:jc w:val="center"/>
              <w:rPr>
                <w:sz w:val="25"/>
              </w:rPr>
            </w:pPr>
            <w:r w:rsidRPr="007F5482">
              <w:rPr>
                <w:sz w:val="25"/>
              </w:rPr>
              <w:t>5,639.42</w:t>
            </w:r>
          </w:p>
        </w:tc>
      </w:tr>
      <w:tr w:rsidR="000A23A3" w:rsidRPr="007F5482" w14:paraId="7277C25E" w14:textId="77777777" w:rsidTr="0032043E">
        <w:trPr>
          <w:trHeight w:val="419"/>
        </w:trPr>
        <w:tc>
          <w:tcPr>
            <w:tcW w:w="3184" w:type="dxa"/>
            <w:noWrap/>
            <w:hideMark/>
          </w:tcPr>
          <w:p w14:paraId="3580D8B5" w14:textId="77777777" w:rsidR="000A23A3" w:rsidRPr="007F5482" w:rsidRDefault="000A23A3" w:rsidP="0032043E">
            <w:pPr>
              <w:pStyle w:val="BodyText"/>
              <w:spacing w:before="3"/>
              <w:rPr>
                <w:b/>
                <w:bCs/>
                <w:sz w:val="25"/>
              </w:rPr>
            </w:pPr>
            <w:r w:rsidRPr="007F5482">
              <w:rPr>
                <w:b/>
                <w:bCs/>
                <w:sz w:val="25"/>
              </w:rPr>
              <w:t>6</w:t>
            </w:r>
          </w:p>
        </w:tc>
        <w:tc>
          <w:tcPr>
            <w:tcW w:w="2436" w:type="dxa"/>
            <w:noWrap/>
            <w:hideMark/>
          </w:tcPr>
          <w:p w14:paraId="2B06786A" w14:textId="77777777" w:rsidR="000A23A3" w:rsidRPr="007F5482" w:rsidRDefault="000A23A3" w:rsidP="0032043E">
            <w:pPr>
              <w:pStyle w:val="BodyText"/>
              <w:spacing w:before="3"/>
              <w:jc w:val="center"/>
              <w:rPr>
                <w:sz w:val="25"/>
              </w:rPr>
            </w:pPr>
            <w:r w:rsidRPr="007F5482">
              <w:rPr>
                <w:sz w:val="25"/>
              </w:rPr>
              <w:t>3,496.67</w:t>
            </w:r>
          </w:p>
        </w:tc>
        <w:tc>
          <w:tcPr>
            <w:tcW w:w="2436" w:type="dxa"/>
            <w:noWrap/>
            <w:hideMark/>
          </w:tcPr>
          <w:p w14:paraId="32463A20" w14:textId="77777777" w:rsidR="000A23A3" w:rsidRPr="007F5482" w:rsidRDefault="000A23A3" w:rsidP="0032043E">
            <w:pPr>
              <w:pStyle w:val="BodyText"/>
              <w:spacing w:before="3"/>
              <w:jc w:val="center"/>
              <w:rPr>
                <w:sz w:val="25"/>
              </w:rPr>
            </w:pPr>
            <w:r w:rsidRPr="007F5482">
              <w:rPr>
                <w:sz w:val="25"/>
              </w:rPr>
              <w:t>4,650.57</w:t>
            </w:r>
          </w:p>
        </w:tc>
        <w:tc>
          <w:tcPr>
            <w:tcW w:w="2436" w:type="dxa"/>
            <w:noWrap/>
            <w:hideMark/>
          </w:tcPr>
          <w:p w14:paraId="4B309944" w14:textId="77777777" w:rsidR="000A23A3" w:rsidRPr="007F5482" w:rsidRDefault="000A23A3" w:rsidP="0032043E">
            <w:pPr>
              <w:pStyle w:val="BodyText"/>
              <w:spacing w:before="3"/>
              <w:jc w:val="center"/>
              <w:rPr>
                <w:sz w:val="25"/>
              </w:rPr>
            </w:pPr>
            <w:r w:rsidRPr="007F5482">
              <w:rPr>
                <w:sz w:val="25"/>
              </w:rPr>
              <w:t>5,245.00</w:t>
            </w:r>
          </w:p>
        </w:tc>
        <w:tc>
          <w:tcPr>
            <w:tcW w:w="2436" w:type="dxa"/>
            <w:noWrap/>
            <w:hideMark/>
          </w:tcPr>
          <w:p w14:paraId="2274B606" w14:textId="77777777" w:rsidR="000A23A3" w:rsidRPr="007F5482" w:rsidRDefault="000A23A3" w:rsidP="0032043E">
            <w:pPr>
              <w:pStyle w:val="BodyText"/>
              <w:spacing w:before="3"/>
              <w:jc w:val="center"/>
              <w:rPr>
                <w:sz w:val="25"/>
              </w:rPr>
            </w:pPr>
            <w:r w:rsidRPr="007F5482">
              <w:rPr>
                <w:sz w:val="25"/>
              </w:rPr>
              <w:t>6,468.83</w:t>
            </w:r>
          </w:p>
        </w:tc>
      </w:tr>
      <w:tr w:rsidR="000A23A3" w:rsidRPr="007F5482" w14:paraId="35941DC6" w14:textId="77777777" w:rsidTr="0032043E">
        <w:trPr>
          <w:trHeight w:val="419"/>
        </w:trPr>
        <w:tc>
          <w:tcPr>
            <w:tcW w:w="3184" w:type="dxa"/>
            <w:noWrap/>
            <w:hideMark/>
          </w:tcPr>
          <w:p w14:paraId="77688735" w14:textId="77777777" w:rsidR="000A23A3" w:rsidRPr="007F5482" w:rsidRDefault="000A23A3" w:rsidP="0032043E">
            <w:pPr>
              <w:pStyle w:val="BodyText"/>
              <w:spacing w:before="3"/>
              <w:rPr>
                <w:b/>
                <w:bCs/>
                <w:sz w:val="25"/>
              </w:rPr>
            </w:pPr>
            <w:r w:rsidRPr="007F5482">
              <w:rPr>
                <w:b/>
                <w:bCs/>
                <w:sz w:val="25"/>
              </w:rPr>
              <w:t>7</w:t>
            </w:r>
          </w:p>
        </w:tc>
        <w:tc>
          <w:tcPr>
            <w:tcW w:w="2436" w:type="dxa"/>
            <w:noWrap/>
            <w:hideMark/>
          </w:tcPr>
          <w:p w14:paraId="0017EE39" w14:textId="77777777" w:rsidR="000A23A3" w:rsidRPr="007F5482" w:rsidRDefault="000A23A3" w:rsidP="0032043E">
            <w:pPr>
              <w:pStyle w:val="BodyText"/>
              <w:spacing w:before="3"/>
              <w:jc w:val="center"/>
              <w:rPr>
                <w:sz w:val="25"/>
              </w:rPr>
            </w:pPr>
            <w:r w:rsidRPr="007F5482">
              <w:rPr>
                <w:sz w:val="25"/>
              </w:rPr>
              <w:t>3,945.00</w:t>
            </w:r>
          </w:p>
        </w:tc>
        <w:tc>
          <w:tcPr>
            <w:tcW w:w="2436" w:type="dxa"/>
            <w:noWrap/>
            <w:hideMark/>
          </w:tcPr>
          <w:p w14:paraId="311ABED3" w14:textId="77777777" w:rsidR="000A23A3" w:rsidRPr="007F5482" w:rsidRDefault="000A23A3" w:rsidP="0032043E">
            <w:pPr>
              <w:pStyle w:val="BodyText"/>
              <w:spacing w:before="3"/>
              <w:jc w:val="center"/>
              <w:rPr>
                <w:sz w:val="25"/>
              </w:rPr>
            </w:pPr>
            <w:r w:rsidRPr="007F5482">
              <w:rPr>
                <w:sz w:val="25"/>
              </w:rPr>
              <w:t>5,246.85</w:t>
            </w:r>
          </w:p>
        </w:tc>
        <w:tc>
          <w:tcPr>
            <w:tcW w:w="2436" w:type="dxa"/>
            <w:noWrap/>
            <w:hideMark/>
          </w:tcPr>
          <w:p w14:paraId="6A176E62" w14:textId="77777777" w:rsidR="000A23A3" w:rsidRPr="007F5482" w:rsidRDefault="000A23A3" w:rsidP="0032043E">
            <w:pPr>
              <w:pStyle w:val="BodyText"/>
              <w:spacing w:before="3"/>
              <w:jc w:val="center"/>
              <w:rPr>
                <w:sz w:val="25"/>
              </w:rPr>
            </w:pPr>
            <w:r w:rsidRPr="007F5482">
              <w:rPr>
                <w:sz w:val="25"/>
              </w:rPr>
              <w:t>5,917.50</w:t>
            </w:r>
          </w:p>
        </w:tc>
        <w:tc>
          <w:tcPr>
            <w:tcW w:w="2436" w:type="dxa"/>
            <w:noWrap/>
            <w:hideMark/>
          </w:tcPr>
          <w:p w14:paraId="1FF282E4" w14:textId="77777777" w:rsidR="000A23A3" w:rsidRPr="007F5482" w:rsidRDefault="000A23A3" w:rsidP="0032043E">
            <w:pPr>
              <w:pStyle w:val="BodyText"/>
              <w:spacing w:before="3"/>
              <w:jc w:val="center"/>
              <w:rPr>
                <w:sz w:val="25"/>
              </w:rPr>
            </w:pPr>
            <w:r w:rsidRPr="007F5482">
              <w:rPr>
                <w:sz w:val="25"/>
              </w:rPr>
              <w:t>7,298.25</w:t>
            </w:r>
          </w:p>
        </w:tc>
      </w:tr>
      <w:tr w:rsidR="000A23A3" w:rsidRPr="007F5482" w14:paraId="1C799324" w14:textId="77777777" w:rsidTr="0032043E">
        <w:trPr>
          <w:trHeight w:val="419"/>
        </w:trPr>
        <w:tc>
          <w:tcPr>
            <w:tcW w:w="3184" w:type="dxa"/>
            <w:noWrap/>
            <w:hideMark/>
          </w:tcPr>
          <w:p w14:paraId="0E471092" w14:textId="77777777" w:rsidR="000A23A3" w:rsidRPr="007F5482" w:rsidRDefault="000A23A3" w:rsidP="0032043E">
            <w:pPr>
              <w:pStyle w:val="BodyText"/>
              <w:spacing w:before="3"/>
              <w:rPr>
                <w:b/>
                <w:bCs/>
                <w:sz w:val="25"/>
              </w:rPr>
            </w:pPr>
            <w:r w:rsidRPr="007F5482">
              <w:rPr>
                <w:b/>
                <w:bCs/>
                <w:sz w:val="25"/>
              </w:rPr>
              <w:t>8</w:t>
            </w:r>
          </w:p>
        </w:tc>
        <w:tc>
          <w:tcPr>
            <w:tcW w:w="2436" w:type="dxa"/>
            <w:noWrap/>
            <w:hideMark/>
          </w:tcPr>
          <w:p w14:paraId="57536A22" w14:textId="77777777" w:rsidR="000A23A3" w:rsidRPr="007F5482" w:rsidRDefault="000A23A3" w:rsidP="0032043E">
            <w:pPr>
              <w:pStyle w:val="BodyText"/>
              <w:spacing w:before="3"/>
              <w:jc w:val="center"/>
              <w:rPr>
                <w:sz w:val="25"/>
              </w:rPr>
            </w:pPr>
            <w:r w:rsidRPr="007F5482">
              <w:rPr>
                <w:sz w:val="25"/>
              </w:rPr>
              <w:t>4,393.33</w:t>
            </w:r>
          </w:p>
        </w:tc>
        <w:tc>
          <w:tcPr>
            <w:tcW w:w="2436" w:type="dxa"/>
            <w:noWrap/>
            <w:hideMark/>
          </w:tcPr>
          <w:p w14:paraId="361B83ED" w14:textId="77777777" w:rsidR="000A23A3" w:rsidRPr="007F5482" w:rsidRDefault="000A23A3" w:rsidP="0032043E">
            <w:pPr>
              <w:pStyle w:val="BodyText"/>
              <w:spacing w:before="3"/>
              <w:jc w:val="center"/>
              <w:rPr>
                <w:sz w:val="25"/>
              </w:rPr>
            </w:pPr>
            <w:r w:rsidRPr="007F5482">
              <w:rPr>
                <w:sz w:val="25"/>
              </w:rPr>
              <w:t>5,843.13</w:t>
            </w:r>
          </w:p>
        </w:tc>
        <w:tc>
          <w:tcPr>
            <w:tcW w:w="2436" w:type="dxa"/>
            <w:noWrap/>
            <w:hideMark/>
          </w:tcPr>
          <w:p w14:paraId="58A0F250" w14:textId="77777777" w:rsidR="000A23A3" w:rsidRPr="007F5482" w:rsidRDefault="000A23A3" w:rsidP="0032043E">
            <w:pPr>
              <w:pStyle w:val="BodyText"/>
              <w:spacing w:before="3"/>
              <w:jc w:val="center"/>
              <w:rPr>
                <w:sz w:val="25"/>
              </w:rPr>
            </w:pPr>
            <w:r w:rsidRPr="007F5482">
              <w:rPr>
                <w:sz w:val="25"/>
              </w:rPr>
              <w:t>6,590.00</w:t>
            </w:r>
          </w:p>
        </w:tc>
        <w:tc>
          <w:tcPr>
            <w:tcW w:w="2436" w:type="dxa"/>
            <w:noWrap/>
            <w:hideMark/>
          </w:tcPr>
          <w:p w14:paraId="317CD163" w14:textId="77777777" w:rsidR="000A23A3" w:rsidRPr="007F5482" w:rsidRDefault="000A23A3" w:rsidP="0032043E">
            <w:pPr>
              <w:pStyle w:val="BodyText"/>
              <w:spacing w:before="3"/>
              <w:jc w:val="center"/>
              <w:rPr>
                <w:sz w:val="25"/>
              </w:rPr>
            </w:pPr>
            <w:r w:rsidRPr="007F5482">
              <w:rPr>
                <w:sz w:val="25"/>
              </w:rPr>
              <w:t>8,127.67</w:t>
            </w:r>
          </w:p>
        </w:tc>
      </w:tr>
    </w:tbl>
    <w:p w14:paraId="7F0E8D30" w14:textId="77777777" w:rsidR="000A23A3" w:rsidRDefault="000A23A3" w:rsidP="000A23A3">
      <w:pPr>
        <w:pStyle w:val="BodyText"/>
        <w:spacing w:before="3"/>
        <w:rPr>
          <w:sz w:val="25"/>
        </w:rPr>
      </w:pPr>
    </w:p>
    <w:p w14:paraId="6C4B64B8" w14:textId="77777777" w:rsidR="000A23A3" w:rsidRDefault="000A23A3" w:rsidP="000A23A3">
      <w:pPr>
        <w:pStyle w:val="BodyText"/>
        <w:spacing w:before="3"/>
        <w:rPr>
          <w:sz w:val="25"/>
        </w:rPr>
      </w:pPr>
    </w:p>
    <w:p w14:paraId="2363D178" w14:textId="77777777" w:rsidR="000A23A3" w:rsidRDefault="000A23A3" w:rsidP="000A23A3">
      <w:pPr>
        <w:pStyle w:val="BodyText"/>
        <w:ind w:left="174"/>
      </w:pPr>
      <w:r>
        <w:t xml:space="preserve">Based on the </w:t>
      </w:r>
      <w:r w:rsidRPr="007F5482">
        <w:t>2024 poverty guidelines in effect as of January 17, 2024. </w:t>
      </w:r>
      <w:hyperlink r:id="rId6" w:history="1">
        <w:r w:rsidRPr="007F5482">
          <w:rPr>
            <w:rStyle w:val="Hyperlink"/>
          </w:rPr>
          <w:t>Federal Register Notice, January 17, 2024</w:t>
        </w:r>
      </w:hyperlink>
    </w:p>
    <w:p w14:paraId="4767AE5A" w14:textId="77777777" w:rsidR="000A23A3" w:rsidRPr="00441F3B" w:rsidRDefault="000A23A3" w:rsidP="000A23A3">
      <w:pPr>
        <w:pStyle w:val="BodyText"/>
        <w:spacing w:before="47"/>
        <w:ind w:left="174"/>
        <w:rPr>
          <w:b/>
        </w:rPr>
      </w:pPr>
      <w:r w:rsidRPr="00441F3B">
        <w:rPr>
          <w:b/>
        </w:rPr>
        <w:t>Note: Clients must never be denied services because of an inability to pay current or past fees</w:t>
      </w:r>
    </w:p>
    <w:p w14:paraId="7DDBBFCF" w14:textId="77777777" w:rsidR="000A23A3" w:rsidRDefault="000A23A3" w:rsidP="00D90935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2471F07" w14:textId="77777777" w:rsidR="000A23A3" w:rsidRDefault="000A23A3" w:rsidP="00D90935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5833148" w14:textId="77777777" w:rsidR="000A23A3" w:rsidRDefault="000A23A3" w:rsidP="00D90935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4D8E4FD" w14:textId="1E5D2B8D" w:rsidR="000A23A3" w:rsidRDefault="000A23A3">
      <w:pPr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br w:type="page"/>
      </w:r>
    </w:p>
    <w:p w14:paraId="346C4475" w14:textId="77777777" w:rsidR="000A23A3" w:rsidRPr="000A23A3" w:rsidRDefault="000A23A3" w:rsidP="000A23A3">
      <w:pPr>
        <w:spacing w:line="240" w:lineRule="exact"/>
        <w:jc w:val="center"/>
        <w:rPr>
          <w:rFonts w:ascii="Calibri" w:hAnsi="Calibri" w:cs="Calibri"/>
          <w:b/>
          <w:bCs/>
          <w:sz w:val="28"/>
          <w:szCs w:val="28"/>
        </w:rPr>
      </w:pPr>
      <w:r w:rsidRPr="000A23A3">
        <w:rPr>
          <w:rFonts w:ascii="Calibri" w:hAnsi="Calibri" w:cs="Calibri"/>
          <w:b/>
          <w:bCs/>
          <w:sz w:val="28"/>
          <w:szCs w:val="28"/>
        </w:rPr>
        <w:lastRenderedPageBreak/>
        <w:t>Income Verification Eligibility Period</w:t>
      </w:r>
    </w:p>
    <w:p w14:paraId="775C9484" w14:textId="77777777" w:rsidR="000A23A3" w:rsidRPr="00D90935" w:rsidRDefault="000A23A3" w:rsidP="000A23A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F63C928" w14:textId="1D106293" w:rsidR="00D90935" w:rsidRPr="00D90935" w:rsidRDefault="00D90935" w:rsidP="00D9093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D90935">
        <w:rPr>
          <w:rFonts w:ascii="Arial" w:eastAsia="Times New Roman" w:hAnsi="Arial" w:cs="Arial"/>
          <w:noProof/>
          <w:color w:val="000000"/>
          <w:kern w:val="0"/>
          <w:sz w:val="20"/>
          <w:szCs w:val="20"/>
          <w:bdr w:val="none" w:sz="0" w:space="0" w:color="auto" w:frame="1"/>
          <w14:ligatures w14:val="none"/>
        </w:rPr>
        <w:drawing>
          <wp:inline distT="0" distB="0" distL="0" distR="0" wp14:anchorId="2DC50DA8" wp14:editId="485B4301">
            <wp:extent cx="5943600" cy="4276725"/>
            <wp:effectExtent l="0" t="0" r="0" b="9525"/>
            <wp:docPr id="1836965211" name="Picture 1" descr="A table with text and number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6965211" name="Picture 1" descr="A table with text and numbers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7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4AF303" w14:textId="77777777" w:rsidR="00C846F2" w:rsidRDefault="00C846F2"/>
    <w:sectPr w:rsidR="00C846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A87EDB"/>
    <w:multiLevelType w:val="multilevel"/>
    <w:tmpl w:val="DB8E8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77594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935"/>
    <w:rsid w:val="000A23A3"/>
    <w:rsid w:val="000B635B"/>
    <w:rsid w:val="00386917"/>
    <w:rsid w:val="004170A6"/>
    <w:rsid w:val="008A6796"/>
    <w:rsid w:val="009C33BF"/>
    <w:rsid w:val="00B55D4F"/>
    <w:rsid w:val="00B62420"/>
    <w:rsid w:val="00C8217B"/>
    <w:rsid w:val="00C846F2"/>
    <w:rsid w:val="00D90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96312"/>
  <w15:chartTrackingRefBased/>
  <w15:docId w15:val="{B153C25E-550E-43A9-A107-B396BC9FD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D909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09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09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09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09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09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09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09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09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09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09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09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093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093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093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093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093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09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909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09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09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909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909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909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9093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9093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09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093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90935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D90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0A23A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0"/>
      <w:szCs w:val="20"/>
      <w:lang w:bidi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0A23A3"/>
    <w:rPr>
      <w:rFonts w:ascii="Calibri" w:eastAsia="Calibri" w:hAnsi="Calibri" w:cs="Calibri"/>
      <w:kern w:val="0"/>
      <w:sz w:val="20"/>
      <w:szCs w:val="20"/>
      <w:lang w:bidi="en-US"/>
      <w14:ligatures w14:val="none"/>
    </w:rPr>
  </w:style>
  <w:style w:type="table" w:styleId="TableGrid">
    <w:name w:val="Table Grid"/>
    <w:basedOn w:val="TableNormal"/>
    <w:uiPriority w:val="39"/>
    <w:rsid w:val="000A23A3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A23A3"/>
    <w:rPr>
      <w:color w:val="467886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A23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A23A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0"/>
      <w:szCs w:val="20"/>
      <w:lang w:bidi="en-US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A23A3"/>
    <w:rPr>
      <w:rFonts w:ascii="Calibri" w:eastAsia="Calibri" w:hAnsi="Calibri" w:cs="Calibri"/>
      <w:kern w:val="0"/>
      <w:sz w:val="20"/>
      <w:szCs w:val="20"/>
      <w:lang w:bidi="en-U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23A3"/>
    <w:pPr>
      <w:widowControl/>
      <w:autoSpaceDE/>
      <w:autoSpaceDN/>
      <w:spacing w:after="160"/>
    </w:pPr>
    <w:rPr>
      <w:rFonts w:asciiTheme="minorHAnsi" w:eastAsiaTheme="minorHAnsi" w:hAnsiTheme="minorHAnsi" w:cstheme="minorBidi"/>
      <w:b/>
      <w:bCs/>
      <w:kern w:val="2"/>
      <w:lang w:bidi="ar-SA"/>
      <w14:ligatures w14:val="standardContextu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23A3"/>
    <w:rPr>
      <w:rFonts w:ascii="Calibri" w:eastAsia="Calibri" w:hAnsi="Calibri" w:cs="Calibri"/>
      <w:b/>
      <w:bCs/>
      <w:kern w:val="0"/>
      <w:sz w:val="20"/>
      <w:szCs w:val="20"/>
      <w:lang w:bidi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68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info.gov/content/pkg/FR-2024-01-17/pdf/2024-00796.pd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Smith</dc:creator>
  <cp:keywords/>
  <dc:description/>
  <cp:lastModifiedBy>Christopher Smith</cp:lastModifiedBy>
  <cp:revision>2</cp:revision>
  <dcterms:created xsi:type="dcterms:W3CDTF">2024-07-03T15:38:00Z</dcterms:created>
  <dcterms:modified xsi:type="dcterms:W3CDTF">2024-07-03T15:38:00Z</dcterms:modified>
</cp:coreProperties>
</file>